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125" w:rsidRDefault="0061596A">
      <w:pPr>
        <w:spacing w:after="44" w:line="239" w:lineRule="auto"/>
        <w:ind w:left="2792" w:right="-15"/>
        <w:jc w:val="left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C95125" w:rsidRDefault="0075727C">
      <w:pPr>
        <w:spacing w:after="64" w:line="240" w:lineRule="auto"/>
        <w:ind w:left="0" w:firstLine="0"/>
        <w:jc w:val="left"/>
      </w:pPr>
      <w:r>
        <w:rPr>
          <w:rFonts w:ascii="Arial" w:eastAsia="Arial" w:hAnsi="Arial" w:cs="Arial"/>
          <w:color w:val="17365D"/>
        </w:rPr>
        <w:t xml:space="preserve"> </w:t>
      </w:r>
    </w:p>
    <w:p w:rsidR="00C95125" w:rsidRDefault="0075727C">
      <w:pPr>
        <w:spacing w:after="0" w:line="240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СОГЛАСОВАНИЕ АКТА ТЕХНОЛОГИЧЕСКОЙ И (ИЛИ) АВАРИЙНОЙ БРОНИ</w:t>
      </w:r>
      <w:r>
        <w:rPr>
          <w:b/>
          <w:i/>
          <w:sz w:val="28"/>
        </w:rPr>
        <w:t xml:space="preserve"> </w:t>
      </w:r>
    </w:p>
    <w:p w:rsidR="00C95125" w:rsidRDefault="0075727C">
      <w:pPr>
        <w:spacing w:after="37" w:line="240" w:lineRule="auto"/>
        <w:ind w:left="0" w:firstLine="0"/>
        <w:jc w:val="center"/>
      </w:pPr>
      <w:r>
        <w:rPr>
          <w:b/>
          <w:i/>
          <w:sz w:val="28"/>
        </w:rPr>
        <w:t xml:space="preserve"> </w:t>
      </w:r>
    </w:p>
    <w:p w:rsidR="00C95125" w:rsidRDefault="0075727C">
      <w:r>
        <w:rPr>
          <w:b/>
        </w:rPr>
        <w:t xml:space="preserve">КРУГ </w:t>
      </w:r>
      <w:proofErr w:type="gramStart"/>
      <w:r>
        <w:rPr>
          <w:b/>
        </w:rPr>
        <w:t xml:space="preserve">ЗАЯВИТЕЛЕЙ: </w:t>
      </w:r>
      <w:r>
        <w:t xml:space="preserve"> физические</w:t>
      </w:r>
      <w:proofErr w:type="gramEnd"/>
      <w:r>
        <w:t xml:space="preserve"> лица, юридические лица и индивидуальные предприниматели  </w:t>
      </w:r>
    </w:p>
    <w:p w:rsidR="00C95125" w:rsidRDefault="0075727C">
      <w:pPr>
        <w:spacing w:after="44" w:line="239" w:lineRule="auto"/>
        <w:ind w:right="-15"/>
        <w:jc w:val="left"/>
      </w:pPr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без взимания платы </w:t>
      </w:r>
      <w:r>
        <w:rPr>
          <w:b/>
        </w:rPr>
        <w:t>УСЛОВИЯ ОКАЗАНИЯ УСЛУГИ (ПРОЦЕССА):</w:t>
      </w:r>
      <w:r>
        <w:t xml:space="preserve">  </w:t>
      </w:r>
    </w:p>
    <w:p w:rsidR="00C95125" w:rsidRDefault="0075727C">
      <w:pPr>
        <w:numPr>
          <w:ilvl w:val="0"/>
          <w:numId w:val="1"/>
        </w:numPr>
      </w:pPr>
      <w:proofErr w:type="gramStart"/>
      <w:r>
        <w:t>ограничение</w:t>
      </w:r>
      <w:proofErr w:type="gramEnd"/>
      <w:r>
        <w:t xml:space="preserve"> режима потребления электрической энергии (мощности) объектов электросетевого хозяйства </w:t>
      </w:r>
      <w:proofErr w:type="spellStart"/>
      <w:r>
        <w:t>энергопринимающих</w:t>
      </w:r>
      <w:proofErr w:type="spellEnd"/>
      <w:r>
        <w:t xml:space="preserve"> устройст</w:t>
      </w:r>
      <w:r>
        <w:t xml:space="preserve">в заявителей может привести к экономическим, экологическим, социальным последствиям и категории которых определены в </w:t>
      </w:r>
      <w:hyperlink r:id="rId7">
        <w:r>
          <w:t>прило</w:t>
        </w:r>
        <w:r>
          <w:t xml:space="preserve">жении </w:t>
        </w:r>
      </w:hyperlink>
      <w:r>
        <w:t xml:space="preserve">к Правилам полного и (или) частичного ограничения режима потребления электрической энергии. </w:t>
      </w:r>
    </w:p>
    <w:p w:rsidR="00C95125" w:rsidRDefault="0075727C">
      <w:pPr>
        <w:numPr>
          <w:ilvl w:val="0"/>
          <w:numId w:val="1"/>
        </w:numPr>
      </w:pPr>
      <w:r>
        <w:t xml:space="preserve">при осуществлении технологического присоединения к объектам электросетевого хозяйства </w:t>
      </w:r>
      <w:proofErr w:type="spellStart"/>
      <w:r>
        <w:t>энергопринимающих</w:t>
      </w:r>
      <w:proofErr w:type="spellEnd"/>
      <w:r>
        <w:t xml:space="preserve"> устройств иных заявителей, ограничение режима потребл</w:t>
      </w:r>
      <w:r>
        <w:t>ения электрической энергии (мощности) которых может привести к возникновению угрозы жизни и здоровью людей, экологической безопасности, безопасности государства и (или) необратимому нарушению непрерывных технологических процессов, используемых в производст</w:t>
      </w:r>
      <w:r>
        <w:t>венном цикле, акт согласования технологической и (или) аварийной брони составляется в случае, если в заявке на технологическое присоединение указано о необходимости наличия технологической и (или) аварийной брони</w:t>
      </w:r>
      <w:r>
        <w:rPr>
          <w:color w:val="17365D"/>
        </w:rPr>
        <w:t xml:space="preserve">. </w:t>
      </w:r>
    </w:p>
    <w:p w:rsidR="00C95125" w:rsidRDefault="0075727C">
      <w:pPr>
        <w:spacing w:after="44" w:line="239" w:lineRule="auto"/>
        <w:ind w:right="-15"/>
        <w:jc w:val="left"/>
      </w:pPr>
      <w:r>
        <w:rPr>
          <w:b/>
        </w:rPr>
        <w:t>РЕЗУЛЬТАТ ОКАЗАНИЯ УСЛУГИ (ПРОЦЕССА):</w:t>
      </w:r>
      <w:r>
        <w:t xml:space="preserve"> сог</w:t>
      </w:r>
      <w:r>
        <w:t xml:space="preserve">ласование акта </w:t>
      </w:r>
    </w:p>
    <w:p w:rsidR="00C95125" w:rsidRDefault="0075727C">
      <w:r>
        <w:rPr>
          <w:b/>
        </w:rPr>
        <w:t>ОБЩИЙ СРОК ОКАЗАНИЯ УСЛУГИ (ПРОЦЕССА):</w:t>
      </w:r>
      <w:r>
        <w:t xml:space="preserve"> 10 рабочих дней со дня получения от заявителя проекта акта согласования технологической и (или) аварийной брони. </w:t>
      </w:r>
    </w:p>
    <w:p w:rsidR="00C95125" w:rsidRDefault="0075727C">
      <w:pPr>
        <w:spacing w:after="54" w:line="240" w:lineRule="auto"/>
        <w:ind w:left="0" w:firstLine="0"/>
        <w:jc w:val="left"/>
      </w:pPr>
      <w:r>
        <w:t xml:space="preserve"> </w:t>
      </w:r>
    </w:p>
    <w:p w:rsidR="00C95125" w:rsidRDefault="0075727C">
      <w:pPr>
        <w:spacing w:after="133" w:line="239" w:lineRule="auto"/>
        <w:ind w:right="-15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7" w:type="dxa"/>
        <w:tblCellMar>
          <w:top w:w="0" w:type="dxa"/>
          <w:left w:w="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26"/>
        <w:gridCol w:w="2349"/>
        <w:gridCol w:w="4447"/>
        <w:gridCol w:w="2753"/>
        <w:gridCol w:w="2278"/>
        <w:gridCol w:w="2304"/>
      </w:tblGrid>
      <w:tr w:rsidR="00C95125">
        <w:trPr>
          <w:trHeight w:val="84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39" w:line="240" w:lineRule="auto"/>
              <w:ind w:left="0" w:firstLine="0"/>
              <w:jc w:val="left"/>
            </w:pPr>
            <w:r>
              <w:rPr>
                <w:b/>
              </w:rPr>
              <w:t xml:space="preserve">  </w:t>
            </w:r>
          </w:p>
          <w:p w:rsidR="00C95125" w:rsidRDefault="0075727C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Содержание/ Условие этапа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4" w:firstLine="0"/>
              <w:jc w:val="left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2" w:firstLine="0"/>
              <w:jc w:val="left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C95125">
        <w:trPr>
          <w:trHeight w:val="1960"/>
        </w:trPr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0" w:line="276" w:lineRule="auto"/>
              <w:ind w:left="144" w:firstLine="0"/>
              <w:jc w:val="left"/>
            </w:pPr>
            <w:r>
              <w:t xml:space="preserve">1 </w:t>
            </w:r>
          </w:p>
        </w:tc>
        <w:tc>
          <w:tcPr>
            <w:tcW w:w="235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125" w:rsidRDefault="0075727C">
            <w:pPr>
              <w:spacing w:line="234" w:lineRule="auto"/>
              <w:ind w:left="0" w:firstLine="0"/>
              <w:jc w:val="center"/>
            </w:pPr>
            <w:r>
              <w:t xml:space="preserve">Направление заявителем проекта </w:t>
            </w:r>
          </w:p>
          <w:p w:rsidR="00C95125" w:rsidRDefault="0075727C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t>акта</w:t>
            </w:r>
            <w:proofErr w:type="gramEnd"/>
            <w:r>
              <w:t xml:space="preserve"> технологической и (или) аварийной брони 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t xml:space="preserve">Рассмотрение акта, назначение ответственного за выполнение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61596A" w:rsidP="0061596A">
            <w:pPr>
              <w:spacing w:after="46" w:line="240" w:lineRule="auto"/>
              <w:ind w:left="124" w:firstLine="0"/>
              <w:jc w:val="left"/>
            </w:pPr>
            <w:r>
              <w:t xml:space="preserve">Личное обращение в АО </w:t>
            </w:r>
            <w:proofErr w:type="gramStart"/>
            <w:r>
              <w:t xml:space="preserve">« </w:t>
            </w:r>
            <w:proofErr w:type="spellStart"/>
            <w:r>
              <w:t>Тотемская</w:t>
            </w:r>
            <w:proofErr w:type="spellEnd"/>
            <w:proofErr w:type="gramEnd"/>
            <w:r>
              <w:t xml:space="preserve"> ЭТС»</w:t>
            </w:r>
            <w:r w:rsidR="0075727C">
              <w:t xml:space="preserve"> </w:t>
            </w:r>
          </w:p>
          <w:p w:rsidR="00C95125" w:rsidRDefault="0061596A" w:rsidP="0061596A">
            <w:pPr>
              <w:spacing w:after="44" w:line="240" w:lineRule="auto"/>
              <w:ind w:left="0" w:firstLine="0"/>
              <w:jc w:val="center"/>
            </w:pPr>
            <w:proofErr w:type="gramStart"/>
            <w:r>
              <w:t>по</w:t>
            </w:r>
            <w:proofErr w:type="gramEnd"/>
            <w:r>
              <w:t xml:space="preserve"> адресу </w:t>
            </w:r>
            <w:proofErr w:type="spellStart"/>
            <w:r>
              <w:t>г.Тотьма</w:t>
            </w:r>
            <w:proofErr w:type="spellEnd"/>
            <w:r>
              <w:t>, ул.Ленина,53а</w:t>
            </w:r>
            <w:r w:rsidR="0075727C">
              <w:t xml:space="preserve">  либо почтой  в 2-х экземплярах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t xml:space="preserve">Не ограничен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95125" w:rsidRDefault="0075727C">
            <w:pPr>
              <w:spacing w:after="46" w:line="240" w:lineRule="auto"/>
              <w:ind w:left="0" w:firstLine="0"/>
              <w:jc w:val="center"/>
            </w:pPr>
            <w:r>
              <w:t xml:space="preserve">Пункт 14.2 </w:t>
            </w:r>
          </w:p>
          <w:p w:rsidR="00C95125" w:rsidRDefault="0075727C">
            <w:pPr>
              <w:spacing w:after="46" w:line="234" w:lineRule="auto"/>
              <w:ind w:left="0" w:firstLine="35"/>
              <w:jc w:val="center"/>
            </w:pPr>
            <w:r>
              <w:t xml:space="preserve">Правил технологического присоединения </w:t>
            </w:r>
          </w:p>
          <w:p w:rsidR="00C95125" w:rsidRDefault="0075727C">
            <w:pPr>
              <w:spacing w:after="0" w:line="276" w:lineRule="auto"/>
              <w:ind w:left="29" w:hanging="29"/>
              <w:jc w:val="center"/>
            </w:pPr>
            <w:proofErr w:type="spellStart"/>
            <w:proofErr w:type="gramStart"/>
            <w:r>
              <w:t>энергопринимающих</w:t>
            </w:r>
            <w:proofErr w:type="spellEnd"/>
            <w:proofErr w:type="gramEnd"/>
            <w:r>
              <w:t xml:space="preserve"> устройств потребителей </w:t>
            </w:r>
          </w:p>
        </w:tc>
      </w:tr>
    </w:tbl>
    <w:p w:rsidR="00C95125" w:rsidRDefault="0075727C">
      <w:pPr>
        <w:spacing w:after="0" w:line="240" w:lineRule="auto"/>
        <w:ind w:left="10" w:right="-15"/>
        <w:jc w:val="center"/>
      </w:pPr>
      <w:r>
        <w:rPr>
          <w:rFonts w:ascii="Arial" w:eastAsia="Arial" w:hAnsi="Arial" w:cs="Arial"/>
          <w:color w:val="17365D"/>
        </w:rPr>
        <w:t xml:space="preserve">1 </w:t>
      </w:r>
    </w:p>
    <w:p w:rsidR="00C95125" w:rsidRDefault="0075727C">
      <w:pPr>
        <w:spacing w:after="0" w:line="240" w:lineRule="auto"/>
        <w:ind w:left="0" w:firstLine="0"/>
        <w:jc w:val="left"/>
      </w:pPr>
      <w:r>
        <w:rPr>
          <w:rFonts w:ascii="Arial" w:eastAsia="Arial" w:hAnsi="Arial" w:cs="Arial"/>
          <w:color w:val="17365D"/>
        </w:rPr>
        <w:t xml:space="preserve"> </w:t>
      </w:r>
    </w:p>
    <w:tbl>
      <w:tblPr>
        <w:tblStyle w:val="TableGrid"/>
        <w:tblW w:w="14557" w:type="dxa"/>
        <w:tblInd w:w="-6" w:type="dxa"/>
        <w:tblCellMar>
          <w:top w:w="0" w:type="dxa"/>
          <w:left w:w="16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17"/>
        <w:gridCol w:w="2330"/>
        <w:gridCol w:w="4305"/>
        <w:gridCol w:w="2711"/>
        <w:gridCol w:w="2237"/>
        <w:gridCol w:w="2457"/>
      </w:tblGrid>
      <w:tr w:rsidR="00C95125">
        <w:trPr>
          <w:trHeight w:val="84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39" w:line="240" w:lineRule="auto"/>
              <w:ind w:left="0" w:firstLine="0"/>
              <w:jc w:val="left"/>
            </w:pPr>
            <w:r>
              <w:rPr>
                <w:b/>
              </w:rPr>
              <w:lastRenderedPageBreak/>
              <w:t xml:space="preserve">  </w:t>
            </w:r>
          </w:p>
          <w:p w:rsidR="00C95125" w:rsidRDefault="0075727C">
            <w:pPr>
              <w:spacing w:after="0" w:line="276" w:lineRule="auto"/>
              <w:ind w:lef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Содержание/ Условие этапа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left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C95125">
        <w:trPr>
          <w:trHeight w:val="1123"/>
        </w:trPr>
        <w:tc>
          <w:tcPr>
            <w:tcW w:w="4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C95125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C95125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44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C95125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C95125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C95125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95125" w:rsidRDefault="0075727C">
            <w:pPr>
              <w:spacing w:after="39" w:line="240" w:lineRule="auto"/>
              <w:ind w:left="0" w:firstLine="0"/>
              <w:jc w:val="center"/>
            </w:pPr>
            <w:proofErr w:type="gramStart"/>
            <w:r>
              <w:t>электрической</w:t>
            </w:r>
            <w:proofErr w:type="gramEnd"/>
            <w:r>
              <w:t xml:space="preserve"> </w:t>
            </w:r>
          </w:p>
          <w:p w:rsidR="00C95125" w:rsidRDefault="0075727C">
            <w:pPr>
              <w:spacing w:after="43" w:line="257" w:lineRule="auto"/>
              <w:ind w:left="0" w:firstLine="0"/>
              <w:jc w:val="center"/>
            </w:pPr>
            <w:proofErr w:type="gramStart"/>
            <w:r>
              <w:t>энергии</w:t>
            </w:r>
            <w:proofErr w:type="gramEnd"/>
            <w:r>
              <w:rPr>
                <w:vertAlign w:val="superscript"/>
              </w:rPr>
              <w:footnoteReference w:id="1"/>
            </w:r>
            <w:r>
              <w:t xml:space="preserve">, Приказ Минэнерго от </w:t>
            </w:r>
          </w:p>
          <w:p w:rsidR="00C95125" w:rsidRDefault="0075727C">
            <w:pPr>
              <w:spacing w:after="0" w:line="276" w:lineRule="auto"/>
              <w:ind w:left="0" w:firstLine="0"/>
              <w:jc w:val="left"/>
            </w:pPr>
            <w:r>
              <w:t xml:space="preserve">06.06.2013г. №290 </w:t>
            </w:r>
          </w:p>
        </w:tc>
      </w:tr>
      <w:tr w:rsidR="00C95125">
        <w:trPr>
          <w:trHeight w:val="278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0" w:line="276" w:lineRule="auto"/>
              <w:ind w:left="0" w:firstLine="0"/>
              <w:jc w:val="left"/>
            </w:pPr>
            <w:r>
              <w:t xml:space="preserve">2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46" w:line="234" w:lineRule="auto"/>
              <w:ind w:left="0" w:firstLine="0"/>
              <w:jc w:val="center"/>
            </w:pPr>
            <w:r>
              <w:t xml:space="preserve">Согласование акта технологической и </w:t>
            </w:r>
          </w:p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t>(</w:t>
            </w:r>
            <w:proofErr w:type="gramStart"/>
            <w:r>
              <w:t>или</w:t>
            </w:r>
            <w:proofErr w:type="gramEnd"/>
            <w:r>
              <w:t xml:space="preserve">) аварийной брони </w:t>
            </w:r>
          </w:p>
        </w:tc>
        <w:tc>
          <w:tcPr>
            <w:tcW w:w="44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43" w:line="234" w:lineRule="auto"/>
              <w:ind w:left="0" w:firstLine="135"/>
              <w:jc w:val="center"/>
            </w:pPr>
            <w:r>
              <w:t xml:space="preserve">Рассмотрение, подписание акта технологической и (или) аварийной брони. В случае несогласия сетевой организации с проектом Акта, оформляются </w:t>
            </w:r>
            <w:proofErr w:type="gramStart"/>
            <w:r>
              <w:t>замечания,  которые</w:t>
            </w:r>
            <w:proofErr w:type="gramEnd"/>
            <w:r>
              <w:t xml:space="preserve"> прикладываются к каждому </w:t>
            </w:r>
          </w:p>
          <w:p w:rsidR="00C95125" w:rsidRDefault="0075727C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t>экземпляру</w:t>
            </w:r>
            <w:proofErr w:type="gramEnd"/>
            <w:r>
              <w:t xml:space="preserve"> Акта  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95125" w:rsidRDefault="0075727C">
            <w:pPr>
              <w:spacing w:after="0" w:line="240" w:lineRule="auto"/>
              <w:ind w:left="0" w:firstLine="0"/>
              <w:jc w:val="left"/>
            </w:pPr>
            <w:r>
              <w:t xml:space="preserve"> </w:t>
            </w:r>
          </w:p>
          <w:p w:rsidR="00C95125" w:rsidRDefault="0075727C">
            <w:pPr>
              <w:spacing w:after="0" w:line="234" w:lineRule="auto"/>
              <w:ind w:left="0" w:firstLine="0"/>
              <w:jc w:val="center"/>
            </w:pPr>
            <w:r>
              <w:t xml:space="preserve">Вручается лично один экземпляр.  </w:t>
            </w:r>
          </w:p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t xml:space="preserve">  </w:t>
            </w:r>
          </w:p>
        </w:tc>
        <w:tc>
          <w:tcPr>
            <w:tcW w:w="22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95125" w:rsidRDefault="0075727C">
            <w:pPr>
              <w:spacing w:after="0" w:line="276" w:lineRule="auto"/>
              <w:ind w:left="0" w:firstLine="0"/>
              <w:jc w:val="center"/>
            </w:pPr>
            <w:r>
              <w:t>Не позднее 10</w:t>
            </w:r>
            <w:r>
              <w:t xml:space="preserve"> рабочих дней со дня подачи заявки 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C95125" w:rsidRDefault="0075727C">
            <w:pPr>
              <w:spacing w:after="46" w:line="234" w:lineRule="auto"/>
              <w:ind w:left="0" w:firstLine="0"/>
              <w:jc w:val="center"/>
            </w:pPr>
            <w:r>
              <w:t xml:space="preserve">Пункт 14.2 Правил технологического присоединения </w:t>
            </w:r>
          </w:p>
          <w:p w:rsidR="00C95125" w:rsidRDefault="0075727C">
            <w:pPr>
              <w:spacing w:after="46" w:line="234" w:lineRule="auto"/>
              <w:ind w:left="0" w:firstLine="0"/>
              <w:jc w:val="center"/>
            </w:pPr>
            <w:proofErr w:type="spellStart"/>
            <w:proofErr w:type="gramStart"/>
            <w:r>
              <w:t>энергопринимающих</w:t>
            </w:r>
            <w:proofErr w:type="spellEnd"/>
            <w:proofErr w:type="gramEnd"/>
            <w:r>
              <w:t xml:space="preserve"> устройств </w:t>
            </w:r>
          </w:p>
          <w:p w:rsidR="00C95125" w:rsidRDefault="0075727C">
            <w:pPr>
              <w:spacing w:after="46" w:line="240" w:lineRule="auto"/>
              <w:ind w:left="0" w:firstLine="0"/>
              <w:jc w:val="center"/>
            </w:pPr>
            <w:proofErr w:type="gramStart"/>
            <w:r>
              <w:t>потребителей</w:t>
            </w:r>
            <w:proofErr w:type="gramEnd"/>
            <w:r>
              <w:t xml:space="preserve"> </w:t>
            </w:r>
          </w:p>
          <w:p w:rsidR="00C95125" w:rsidRDefault="0075727C">
            <w:pPr>
              <w:spacing w:after="42" w:line="240" w:lineRule="auto"/>
              <w:ind w:left="0" w:firstLine="0"/>
              <w:jc w:val="center"/>
            </w:pPr>
            <w:proofErr w:type="gramStart"/>
            <w:r>
              <w:t>электрической</w:t>
            </w:r>
            <w:proofErr w:type="gramEnd"/>
            <w:r>
              <w:t xml:space="preserve"> </w:t>
            </w:r>
          </w:p>
          <w:p w:rsidR="00C95125" w:rsidRDefault="0075727C">
            <w:pPr>
              <w:spacing w:after="43" w:line="234" w:lineRule="auto"/>
              <w:ind w:left="0" w:firstLine="0"/>
              <w:jc w:val="center"/>
            </w:pPr>
            <w:proofErr w:type="gramStart"/>
            <w:r>
              <w:t>энергии</w:t>
            </w:r>
            <w:proofErr w:type="gramEnd"/>
            <w:r>
              <w:t xml:space="preserve">, Приказ Минэнерго от </w:t>
            </w:r>
          </w:p>
          <w:p w:rsidR="00C95125" w:rsidRDefault="0075727C">
            <w:pPr>
              <w:spacing w:after="0" w:line="276" w:lineRule="auto"/>
              <w:ind w:left="0" w:firstLine="0"/>
              <w:jc w:val="left"/>
            </w:pPr>
            <w:r>
              <w:t xml:space="preserve">06.06.2013г. №290  </w:t>
            </w:r>
          </w:p>
        </w:tc>
      </w:tr>
    </w:tbl>
    <w:p w:rsidR="00C95125" w:rsidRDefault="00C95125">
      <w:pPr>
        <w:spacing w:after="3824" w:line="240" w:lineRule="auto"/>
        <w:ind w:left="0" w:firstLine="0"/>
        <w:jc w:val="left"/>
      </w:pPr>
      <w:bookmarkStart w:id="0" w:name="_GoBack"/>
      <w:bookmarkEnd w:id="0"/>
    </w:p>
    <w:p w:rsidR="00C95125" w:rsidRDefault="0075727C">
      <w:pPr>
        <w:spacing w:after="0" w:line="240" w:lineRule="auto"/>
        <w:ind w:left="10" w:right="-15"/>
        <w:jc w:val="center"/>
      </w:pPr>
      <w:r>
        <w:rPr>
          <w:rFonts w:ascii="Arial" w:eastAsia="Arial" w:hAnsi="Arial" w:cs="Arial"/>
          <w:color w:val="17365D"/>
        </w:rPr>
        <w:t xml:space="preserve">2 </w:t>
      </w:r>
    </w:p>
    <w:p w:rsidR="00C95125" w:rsidRDefault="0075727C">
      <w:pPr>
        <w:spacing w:after="0" w:line="240" w:lineRule="auto"/>
        <w:ind w:left="0" w:firstLine="0"/>
        <w:jc w:val="left"/>
      </w:pPr>
      <w:r>
        <w:rPr>
          <w:rFonts w:ascii="Arial" w:eastAsia="Arial" w:hAnsi="Arial" w:cs="Arial"/>
          <w:color w:val="17365D"/>
        </w:rPr>
        <w:t xml:space="preserve"> </w:t>
      </w:r>
    </w:p>
    <w:sectPr w:rsidR="00C95125">
      <w:footnotePr>
        <w:numRestart w:val="eachPage"/>
      </w:footnotePr>
      <w:pgSz w:w="16838" w:h="11906" w:orient="landscape"/>
      <w:pgMar w:top="1145" w:right="1156" w:bottom="71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27C" w:rsidRDefault="0075727C">
      <w:pPr>
        <w:spacing w:after="0" w:line="240" w:lineRule="auto"/>
      </w:pPr>
      <w:r>
        <w:separator/>
      </w:r>
    </w:p>
  </w:endnote>
  <w:endnote w:type="continuationSeparator" w:id="0">
    <w:p w:rsidR="0075727C" w:rsidRDefault="00757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27C" w:rsidRDefault="0075727C">
      <w:pPr>
        <w:spacing w:after="0" w:line="251" w:lineRule="auto"/>
        <w:ind w:left="0" w:firstLine="0"/>
        <w:jc w:val="left"/>
      </w:pPr>
      <w:r>
        <w:separator/>
      </w:r>
    </w:p>
  </w:footnote>
  <w:footnote w:type="continuationSeparator" w:id="0">
    <w:p w:rsidR="0075727C" w:rsidRDefault="0075727C">
      <w:pPr>
        <w:spacing w:after="0" w:line="251" w:lineRule="auto"/>
        <w:ind w:left="0" w:firstLine="0"/>
        <w:jc w:val="left"/>
      </w:pPr>
      <w:r>
        <w:continuationSeparator/>
      </w:r>
    </w:p>
  </w:footnote>
  <w:footnote w:id="1">
    <w:p w:rsidR="00C95125" w:rsidRDefault="0075727C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 xml:space="preserve">Правила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</w:t>
      </w:r>
      <w:r>
        <w:t>ким сетям, утвержденные постановлением Правительства Российской Федерации от 27.12.2004 №861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E33018"/>
    <w:multiLevelType w:val="hybridMultilevel"/>
    <w:tmpl w:val="75863444"/>
    <w:lvl w:ilvl="0" w:tplc="9BA8FB98">
      <w:start w:val="1"/>
      <w:numFmt w:val="bullet"/>
      <w:lvlText w:val="-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8C009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7C84C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FABE1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DE76B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446D1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68CB9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C06A0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C8C9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25"/>
    <w:rsid w:val="0061596A"/>
    <w:rsid w:val="0075727C"/>
    <w:rsid w:val="00C9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D74C0-BA79-401D-8640-5CB9A82BB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7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51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78F214DC91179767843A1CD2D39EFE38E6E261C051CC5DDC4CFEFDE64A3833418A09F103FE4E5648M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2016-03-01T06:38:00Z</dcterms:created>
  <dcterms:modified xsi:type="dcterms:W3CDTF">2016-03-01T06:38:00Z</dcterms:modified>
</cp:coreProperties>
</file>